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63" w:rsidRPr="002C4963" w:rsidRDefault="002C4963" w:rsidP="002C49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Міністерство охорони здоров’я України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Житомирський базовий фармацевтичний фаховий коледж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Житомирської обласної ради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до самостійної роботи студентів</w:t>
      </w: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44"/>
          <w:szCs w:val="44"/>
          <w:lang w:val="uk-UA" w:eastAsia="ru-RU"/>
        </w:rPr>
        <w:t xml:space="preserve">                                ФАРМАКОЛОГІЯ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val="uk-UA" w:eastAsia="ru-RU"/>
        </w:rPr>
      </w:pPr>
    </w:p>
    <w:p w:rsidR="002C4963" w:rsidRPr="002C4963" w:rsidRDefault="002C4963" w:rsidP="002C4963">
      <w:pPr>
        <w:spacing w:after="200" w:line="240" w:lineRule="auto"/>
        <w:ind w:left="-284" w:right="283" w:firstLine="71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Спеціальність 226 Фармація, промислова фармація</w:t>
      </w:r>
    </w:p>
    <w:p w:rsidR="002C4963" w:rsidRPr="002C4963" w:rsidRDefault="002C4963" w:rsidP="002C4963">
      <w:pPr>
        <w:spacing w:after="200" w:line="240" w:lineRule="auto"/>
        <w:ind w:left="-284" w:right="283" w:firstLine="71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освітньо-професійна програма «Фармація»</w:t>
      </w:r>
    </w:p>
    <w:p w:rsidR="002C4963" w:rsidRPr="002C4963" w:rsidRDefault="002C4963" w:rsidP="002C4963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освітньо-професійного ступеня фаховий молодший бакалавр</w:t>
      </w:r>
    </w:p>
    <w:p w:rsidR="002C4963" w:rsidRPr="002C4963" w:rsidRDefault="00763625" w:rsidP="002C4963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 основі повної</w:t>
      </w:r>
      <w:bookmarkStart w:id="0" w:name="_GoBack"/>
      <w:bookmarkEnd w:id="0"/>
      <w:r w:rsidR="002C4963"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загальної середньої освіти</w:t>
      </w:r>
    </w:p>
    <w:p w:rsidR="002C4963" w:rsidRPr="002C4963" w:rsidRDefault="002C4963" w:rsidP="002C4963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денна форма навчання</w:t>
      </w:r>
    </w:p>
    <w:p w:rsidR="002C4963" w:rsidRPr="002C4963" w:rsidRDefault="002C4963" w:rsidP="002C4963">
      <w:pPr>
        <w:spacing w:after="20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Модуль </w:t>
      </w:r>
      <w:r w:rsidRPr="002C4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Житомир</w:t>
      </w:r>
    </w:p>
    <w:p w:rsidR="002C4963" w:rsidRPr="002C4963" w:rsidRDefault="002C4963" w:rsidP="002C4963">
      <w:pPr>
        <w:spacing w:after="20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right="283"/>
        <w:jc w:val="both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lastRenderedPageBreak/>
        <w:t xml:space="preserve">Укладачі:     </w:t>
      </w:r>
    </w:p>
    <w:p w:rsidR="002C4963" w:rsidRPr="002C4963" w:rsidRDefault="002C4963" w:rsidP="002C4963">
      <w:pPr>
        <w:spacing w:after="20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Мельничук Л.В., 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викладач вищої кваліфікаційної категорії, Житомирського базового фармацевтичного фахового коледжу Житомирської обласної ради.</w:t>
      </w:r>
    </w:p>
    <w:p w:rsidR="002C4963" w:rsidRPr="002C4963" w:rsidRDefault="002C4963" w:rsidP="002C4963">
      <w:pPr>
        <w:spacing w:after="200" w:line="240" w:lineRule="auto"/>
        <w:ind w:firstLine="127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1260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uk-UA" w:eastAsia="ru-RU"/>
        </w:rPr>
      </w:pPr>
    </w:p>
    <w:p w:rsidR="009D39F3" w:rsidRPr="009D39F3" w:rsidRDefault="002C4963" w:rsidP="009D39F3">
      <w:pPr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C4963">
        <w:rPr>
          <w:rFonts w:ascii="Calibri" w:eastAsia="Times New Roman" w:hAnsi="Calibri" w:cs="Times New Roman"/>
          <w:b/>
          <w:sz w:val="36"/>
          <w:szCs w:val="36"/>
          <w:lang w:val="uk-UA" w:eastAsia="ru-RU"/>
        </w:rPr>
        <w:br w:type="page"/>
      </w:r>
      <w:r w:rsidR="009D39F3" w:rsidRPr="009D39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Самостійна робота</w:t>
      </w:r>
    </w:p>
    <w:p w:rsidR="009D39F3" w:rsidRPr="009D39F3" w:rsidRDefault="009D39F3" w:rsidP="009D39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938"/>
        <w:gridCol w:w="1417"/>
      </w:tblGrid>
      <w:tr w:rsidR="009D39F3" w:rsidRPr="009D39F3" w:rsidTr="00FA22F6">
        <w:tc>
          <w:tcPr>
            <w:tcW w:w="426" w:type="dxa"/>
            <w:vAlign w:val="center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7938" w:type="dxa"/>
            <w:vAlign w:val="center"/>
          </w:tcPr>
          <w:p w:rsidR="009D39F3" w:rsidRPr="009D39F3" w:rsidRDefault="009D39F3" w:rsidP="009D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1417" w:type="dxa"/>
            <w:vAlign w:val="center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</w:t>
            </w:r>
          </w:p>
        </w:tc>
      </w:tr>
      <w:tr w:rsidR="009D39F3" w:rsidRPr="009D39F3" w:rsidTr="00FA22F6">
        <w:tc>
          <w:tcPr>
            <w:tcW w:w="9781" w:type="dxa"/>
            <w:gridSpan w:val="3"/>
          </w:tcPr>
          <w:p w:rsidR="009D39F3" w:rsidRPr="009D39F3" w:rsidRDefault="009D39F3" w:rsidP="009D39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9D39F3" w:rsidRPr="009D39F3" w:rsidTr="00FA22F6">
        <w:trPr>
          <w:trHeight w:val="3609"/>
        </w:trPr>
        <w:tc>
          <w:tcPr>
            <w:tcW w:w="426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7938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Тема: Вступ. Загальна фармакологія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Основні етапи історії фармакології.</w:t>
            </w:r>
            <w:r w:rsidRPr="009D3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Класифікація та термінологія лікарських засобів. </w:t>
            </w:r>
            <w:r w:rsidRPr="009D3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Відмінності гомеопатичних препаратів та дієтичних добавок від лікарських засобів. </w:t>
            </w:r>
            <w:r w:rsidRPr="009D39F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Шляхи пошуку нових лікарських засобів.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Шляхи введення лікарських засобів в організм.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Несумісність ліків.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Доза, види доз. Широта терапевтичної дії. 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Поняття про безпеку лікарських засобів. Система фармакологічного нагляду в Україні та у світі. </w:t>
            </w:r>
          </w:p>
        </w:tc>
        <w:tc>
          <w:tcPr>
            <w:tcW w:w="1417" w:type="dxa"/>
          </w:tcPr>
          <w:p w:rsidR="009D39F3" w:rsidRPr="009D39F3" w:rsidRDefault="009D39F3" w:rsidP="009D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D39F3" w:rsidRPr="009D39F3" w:rsidTr="00FA22F6">
        <w:trPr>
          <w:trHeight w:val="2967"/>
        </w:trPr>
        <w:tc>
          <w:tcPr>
            <w:tcW w:w="426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7938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Тема: Загальна рецептура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Державна Фармакопея України. </w:t>
            </w: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Рецепт, його структура, форми рецептурних бланків. 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Класифікація лікарських форм та правила їх виписування у рецепті. Типові помилки, що зустрічаються в рецептах. Виписування та корекція рецептів на тверді, м’які та рідкі лікарські форми. </w:t>
            </w:r>
          </w:p>
          <w:p w:rsidR="009D39F3" w:rsidRPr="009D39F3" w:rsidRDefault="009D39F3" w:rsidP="009D39F3">
            <w:pPr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Розрахунки та перевірка терапевтичних і вищих доз лікарських засобів для дітей та людей похилого віку.</w:t>
            </w:r>
          </w:p>
          <w:p w:rsidR="009D39F3" w:rsidRPr="009D39F3" w:rsidRDefault="009D39F3" w:rsidP="009D39F3">
            <w:pPr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9D39F3" w:rsidRPr="009D39F3" w:rsidRDefault="009D39F3" w:rsidP="009D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9D39F3" w:rsidRPr="009D39F3" w:rsidTr="00FA22F6">
        <w:trPr>
          <w:trHeight w:val="3336"/>
        </w:trPr>
        <w:tc>
          <w:tcPr>
            <w:tcW w:w="426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7938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 xml:space="preserve">Тема: Холінотропні </w:t>
            </w:r>
            <w:r w:rsidRPr="009D39F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засоби.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Допомога при отруєнні мускарином. </w:t>
            </w:r>
            <w:r w:rsidRPr="009D3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Токсична дія нікотину.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Токсичність фосфорорганічних сполук (ФОС), симптоми, заходи допомоги при отруєнні. Реактиватори холінестерази.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Фармакодинаміка, показання до застосування, побічні ефекти при застосуванні:</w:t>
            </w:r>
          </w:p>
          <w:p w:rsidR="009D39F3" w:rsidRPr="009D39F3" w:rsidRDefault="009D39F3" w:rsidP="009D39F3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Міорелаксантів периферичної (суксаметонію йодид, піпекуронію бромід, векуронію йодид) та центральної дії (баклофен, толперизон, тизанідин). Особливості дії, показання до застосування, фармакобезпека.</w:t>
            </w: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Гостре отруєння атропіном, заходи допомоги.</w:t>
            </w:r>
          </w:p>
          <w:p w:rsidR="009D39F3" w:rsidRPr="009D39F3" w:rsidRDefault="009D39F3" w:rsidP="009D39F3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9D39F3" w:rsidRPr="009D39F3" w:rsidRDefault="009D39F3" w:rsidP="009D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9D39F3" w:rsidRPr="009D39F3" w:rsidTr="00FA22F6">
        <w:trPr>
          <w:trHeight w:val="1889"/>
        </w:trPr>
        <w:tc>
          <w:tcPr>
            <w:tcW w:w="426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7938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 Лікарські засоби, що впливають на адренергічні процеси</w:t>
            </w:r>
          </w:p>
          <w:p w:rsidR="009D39F3" w:rsidRPr="009D39F3" w:rsidRDefault="009D39F3" w:rsidP="009D39F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Поняття про адренорецептори, їх класифікація.</w:t>
            </w:r>
          </w:p>
          <w:p w:rsidR="009D39F3" w:rsidRPr="009D39F3" w:rsidRDefault="009D39F3" w:rsidP="009D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Особливості дії, показання до застосування та фармакобезпека симпатолітичних засобів.</w:t>
            </w:r>
          </w:p>
        </w:tc>
        <w:tc>
          <w:tcPr>
            <w:tcW w:w="1417" w:type="dxa"/>
          </w:tcPr>
          <w:p w:rsidR="009D39F3" w:rsidRPr="009D39F3" w:rsidRDefault="009D39F3" w:rsidP="009D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D39F3" w:rsidRPr="009D39F3" w:rsidTr="00FA22F6">
        <w:trPr>
          <w:trHeight w:val="1833"/>
        </w:trPr>
        <w:tc>
          <w:tcPr>
            <w:tcW w:w="426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7938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 Лікарські засоби, що пригнічують центральну нервову систему.</w:t>
            </w:r>
          </w:p>
          <w:p w:rsidR="009D39F3" w:rsidRPr="009D39F3" w:rsidRDefault="009D39F3" w:rsidP="009D39F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Фармакодинаміка спирту етилового. Застосування в медичній та фармацевтичній практиці. Заходи допомоги при гострому і хронічному отруєнні. 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Сон, його значення. </w:t>
            </w:r>
            <w:r w:rsidRPr="009D3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Поняття про епілепсію. Основні принципи лікування.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1417" w:type="dxa"/>
          </w:tcPr>
          <w:p w:rsidR="009D39F3" w:rsidRPr="009D39F3" w:rsidRDefault="009D39F3" w:rsidP="009D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D39F3" w:rsidRPr="009D39F3" w:rsidTr="00FA22F6">
        <w:trPr>
          <w:trHeight w:val="611"/>
        </w:trPr>
        <w:tc>
          <w:tcPr>
            <w:tcW w:w="426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7938" w:type="dxa"/>
          </w:tcPr>
          <w:p w:rsidR="009D39F3" w:rsidRPr="009D39F3" w:rsidRDefault="009D39F3" w:rsidP="009D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 Опіоїдні (наркотичні) та неопіоїдні (ненаркотичні) анальгетики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Анальгетики. Поняття про опіоїдні рецептори. Біль, механізм виникнення болю. Види болю. 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Рекомендації ВООЗ щодо боротьби з наркоманією.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</w:tcPr>
          <w:p w:rsidR="009D39F3" w:rsidRPr="009D39F3" w:rsidRDefault="009D39F3" w:rsidP="009D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D39F3" w:rsidRPr="009D39F3" w:rsidTr="00FA22F6">
        <w:trPr>
          <w:trHeight w:val="1216"/>
        </w:trPr>
        <w:tc>
          <w:tcPr>
            <w:tcW w:w="426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7938" w:type="dxa"/>
          </w:tcPr>
          <w:p w:rsidR="009D39F3" w:rsidRPr="009D39F3" w:rsidRDefault="009D39F3" w:rsidP="009D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 Психотропні засоби пригнічувальної дії.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Поняття про психотропні засоби. </w:t>
            </w: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Психотропні засоби пригнічувальної дії. 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Нормотимічні препарати (солі літію). Загальна характе</w:t>
            </w: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softHyphen/>
              <w:t>ристика, фармакодинаміка, побічні ефекти, їх профілактика. Гостре отруєння солями літію, заходи допомоги.</w:t>
            </w:r>
          </w:p>
        </w:tc>
        <w:tc>
          <w:tcPr>
            <w:tcW w:w="1417" w:type="dxa"/>
          </w:tcPr>
          <w:p w:rsidR="009D39F3" w:rsidRPr="009D39F3" w:rsidRDefault="009D39F3" w:rsidP="009D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D39F3" w:rsidRPr="009D39F3" w:rsidTr="00FA22F6">
        <w:trPr>
          <w:trHeight w:val="1410"/>
        </w:trPr>
        <w:tc>
          <w:tcPr>
            <w:tcW w:w="426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7938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 Лікарські засоби, що стимулюють центральну нервову систему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Поняття про адаптогени (настойка кореню женьшеня, екстракт елеутерококу, екстракт родіоли рожевої, настойка лимонника китайського, пантокрин) та актопротектори (бемітил), загальна характеристика, порівняльні властивості препаратів групи. Умови раціонального застосування. </w:t>
            </w:r>
          </w:p>
          <w:p w:rsidR="009D39F3" w:rsidRPr="009D39F3" w:rsidRDefault="009D39F3" w:rsidP="009D39F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D39F3" w:rsidRPr="009D39F3" w:rsidRDefault="009D39F3" w:rsidP="009D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D39F3" w:rsidRPr="009D39F3" w:rsidTr="00FA22F6">
        <w:trPr>
          <w:trHeight w:val="363"/>
        </w:trPr>
        <w:tc>
          <w:tcPr>
            <w:tcW w:w="426" w:type="dxa"/>
          </w:tcPr>
          <w:p w:rsidR="009D39F3" w:rsidRPr="009D39F3" w:rsidRDefault="009D39F3" w:rsidP="009D3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938" w:type="dxa"/>
            <w:vAlign w:val="center"/>
          </w:tcPr>
          <w:p w:rsidR="009D39F3" w:rsidRPr="009D39F3" w:rsidRDefault="009D39F3" w:rsidP="009D3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uk-UA" w:eastAsia="ru-RU"/>
              </w:rPr>
              <w:t>Разом</w:t>
            </w:r>
          </w:p>
        </w:tc>
        <w:tc>
          <w:tcPr>
            <w:tcW w:w="1417" w:type="dxa"/>
            <w:vAlign w:val="center"/>
          </w:tcPr>
          <w:p w:rsidR="009D39F3" w:rsidRPr="009D39F3" w:rsidRDefault="009D39F3" w:rsidP="009D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D39F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20</w:t>
            </w:r>
          </w:p>
        </w:tc>
      </w:tr>
      <w:tr w:rsidR="002C4963" w:rsidRPr="002C4963" w:rsidTr="00FA22F6">
        <w:tc>
          <w:tcPr>
            <w:tcW w:w="9781" w:type="dxa"/>
            <w:gridSpan w:val="3"/>
          </w:tcPr>
          <w:p w:rsidR="002C4963" w:rsidRPr="002C4963" w:rsidRDefault="002C4963" w:rsidP="002C496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2C4963" w:rsidRPr="002C4963" w:rsidRDefault="002C4963" w:rsidP="002C4963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2C4963" w:rsidRPr="002C4963" w:rsidSect="00144F81">
          <w:pgSz w:w="11906" w:h="16838"/>
          <w:pgMar w:top="1134" w:right="426" w:bottom="1134" w:left="851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20"/>
        <w:gridCol w:w="3708"/>
        <w:gridCol w:w="3613"/>
        <w:gridCol w:w="2847"/>
      </w:tblGrid>
      <w:tr w:rsidR="002C4963" w:rsidRPr="002C4963" w:rsidTr="002C4963">
        <w:trPr>
          <w:trHeight w:val="2825"/>
        </w:trPr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br w:type="page"/>
            </w: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Питання для самостійного вивчення</w:t>
            </w:r>
          </w:p>
        </w:tc>
        <w:tc>
          <w:tcPr>
            <w:tcW w:w="3708" w:type="dxa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Питання для самоконтролю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2C4963" w:rsidRPr="002C4963" w:rsidRDefault="002C4963" w:rsidP="002C49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2C4963" w:rsidRPr="002C4963" w:rsidRDefault="002C4963" w:rsidP="002C49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Література</w:t>
            </w:r>
          </w:p>
          <w:p w:rsidR="002C4963" w:rsidRPr="002C4963" w:rsidRDefault="002C4963" w:rsidP="002C496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FA22F6">
        <w:tc>
          <w:tcPr>
            <w:tcW w:w="14850" w:type="dxa"/>
            <w:gridSpan w:val="5"/>
            <w:shd w:val="clear" w:color="auto" w:fill="D9D9D9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 І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4288" w:type="dxa"/>
            <w:gridSpan w:val="4"/>
            <w:shd w:val="clear" w:color="auto" w:fill="auto"/>
            <w:vAlign w:val="center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 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Вступ. Загальна фармакологія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Основні етапи історії фармакології.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Класифікація та термінологія лікарських засобів.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Відмінності гомеопатичних препаратів та дієтичних добавок від лікарських засобів. 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Шляхи пошуку нових лікарських засобів.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Шляхи введення лікарських засобів в організм.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Несумісність ліків.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Доза, види доз. Широта терапевтичної дії.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Поняття про безпеку лікарських засобів. Система фармакологічного нагляду в Україні та у світі.</w:t>
            </w: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Демонструвати знання вимог законодавчих та нормативних актів, належних фармацевтичних практик під час консультування.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Демонструвати знання та розуміння основних термінів і понять у фармакології.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Описувати види і характер прояву побічної дії лікарських засобів, підходи до їх попередження та корекції.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Вирішувати фармакологічні ситуаційні задачі з повним обґрунтуванням знайденого рішення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Використовувати сучасні технології та надавати рекомендації при відпуску товарів аптечного асортименту</w:t>
            </w:r>
          </w:p>
          <w:p w:rsidR="002C4963" w:rsidRPr="002C4963" w:rsidRDefault="002C4963" w:rsidP="002C4963">
            <w:p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етапи виділяють в історії фармакології?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Вказати напрями та розділи фармакології.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принципи покладені В основу класифікації та термінології лікарських засобів?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Чим відрізняється  лікарські засоби від гомеопатичних препаратів та дієтичних добавок?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шляхи пошуку нових лікарських засобів? Які основні терміни ліків?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 Які шляхи введення лікарських засобів в організм?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несумісності ліків. Поняття про дозу, види доз.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 про безпеку лікарських засобів, систему фармакологічного нагляду у світі та Україні.</w:t>
            </w: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200" w:line="276" w:lineRule="auto"/>
              <w:ind w:left="-5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Дроговоз С.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Фармакологія на допомогу лікарю, провізору, студенту: підручник-довідник. Харків: Титул, 2017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с. 7-32.</w:t>
            </w:r>
          </w:p>
          <w:p w:rsidR="002C4963" w:rsidRPr="002C4963" w:rsidRDefault="002C4963" w:rsidP="002C4963">
            <w:pPr>
              <w:spacing w:after="0" w:line="276" w:lineRule="auto"/>
              <w:ind w:hanging="53"/>
              <w:rPr>
                <w:rFonts w:ascii="Times New Roman" w:eastAsia="Calibri" w:hAnsi="Times New Roman" w:cs="Times New Roman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 xml:space="preserve">с.18-31; 67-68. </w:t>
            </w:r>
          </w:p>
          <w:p w:rsidR="002C4963" w:rsidRPr="002C4963" w:rsidRDefault="002C4963" w:rsidP="002C496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4288" w:type="dxa"/>
            <w:gridSpan w:val="4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 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рецептура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Державна Фармакопея України. Рецепт, його структура, форми рецептурних бланків. 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Класифікація лікарських форм та правила їх виписування у рецепті. Типові помилки, що зустрічаються в рецептах. Виписування та корекція рецептів на тверді, м’які та рідкі лікарські форми. 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 та перевірка терапевтичних і вищих доз лікарських засобів для дітей та людей похилого віку.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292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Демонструвати знання та розуміння основних термінів і понять у фармакології.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317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433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Виконувати перевірку правильності виписаних лікарських засобів,  прописаних разових та добових доз отруйних і сильнодіючих лікарських засобів, в залежності від віку пацієнта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459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459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459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459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Використовувати сучасні технології та надавати рекомендації при відпуску товарів аптечного асортименту</w:t>
            </w: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 про державну фармакопею України, рецепт, його структуру, форми рецеп-турних бланків.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 класифікують лікарські форми?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 правила  виписування рецептів?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типові помилки зустрічаються в рецептах?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якими правилами виписують та коректують рецепти на різні лікарські форми?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якими правилами розраховують та перевіряють терапевтичі і вищи дози лікарських засобів для дітей та людей похилого віку?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>698-745.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2C4963">
        <w:trPr>
          <w:trHeight w:val="544"/>
        </w:trPr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4288" w:type="dxa"/>
            <w:gridSpan w:val="4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Холінотропні 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засоби.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Допомога при отруєнні мускарином. 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Токсична дія нікотину.</w:t>
            </w:r>
          </w:p>
          <w:p w:rsidR="002C4963" w:rsidRPr="002C4963" w:rsidRDefault="002C4963" w:rsidP="002C4963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Токсичність фосфорорганічних сполук (ФОС), симптоми, заходи допомоги при отруєнні. Реактиватори холінестерази (дипіроксим, ізонітрозин, алоксим). </w:t>
            </w:r>
          </w:p>
          <w:p w:rsidR="002C4963" w:rsidRPr="002C4963" w:rsidRDefault="002C4963" w:rsidP="002C4963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Фармакодинаміка, показання до застосування, побічні ефекти при застосуванні:</w:t>
            </w:r>
          </w:p>
          <w:p w:rsidR="002C4963" w:rsidRPr="002C4963" w:rsidRDefault="002C4963" w:rsidP="002C4963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Міорелаксантів периферичної (тубокурарину хлорид, сукса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softHyphen/>
              <w:t>ме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softHyphen/>
              <w:t xml:space="preserve">тонію йодид, піпекуронію бромід, 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векуронію йодид) та централь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softHyphen/>
              <w:t>ної дії (баклофен, толперизон, тизанідин). Особ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softHyphen/>
              <w:t>ли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softHyphen/>
              <w:t>вості дії, показання до застосування, фармакобезпека.</w:t>
            </w: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Гостре отруєння атро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пі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ном, заходи допомоги.</w:t>
            </w:r>
          </w:p>
          <w:p w:rsidR="002C4963" w:rsidRPr="002C4963" w:rsidRDefault="002C4963" w:rsidP="002C4963">
            <w:pPr>
              <w:tabs>
                <w:tab w:val="left" w:pos="3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Застосовувати в процесі професійної діяльності всі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 стандартні процедури з дотриманням чинних нормативних вимог з метою забезпечення якості наданої послуги.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Імплементувати принципи фармацевтичної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етики та деонтології під час консультування, відпуску лікарських засобів та товарів аптечного асортименту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, показаннями 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lastRenderedPageBreak/>
              <w:t>до застосування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, що впливають на нервову систему, гормональних препаратів, хіміотерапевтичних засобів. 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фармакокінетичні параметри лікарського препарату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 залежності від форми випуску та умов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Ідентифікувати лікарські засоби за допомогою міжнародної, торової, хмічної назви щодо їх приналежності до певної фармакологічної групи.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Описувати види і характер прояву побічної дії лікарських засобів, підходи до їх попередження та корекції.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Знаходити рішення в ситуаціях</w:t>
            </w: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доцільність вибору певного лікарського засобу шляхом оцінювання хімічної будови, фармакокінетичних та фармакодинамічних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Вибирати оптимальний спосіб застосування лікарського засобу з обгрунтованням його фармакодинамічних та фармакокінетичних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Використовувати сучасні технології та надавати рекомендації при відпуску товарів аптечного асортименту</w:t>
            </w:r>
          </w:p>
          <w:p w:rsidR="002C4963" w:rsidRPr="002C4963" w:rsidRDefault="002C4963" w:rsidP="002C49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numPr>
                <w:ilvl w:val="0"/>
                <w:numId w:val="17"/>
              </w:numPr>
              <w:spacing w:after="0" w:line="256" w:lineRule="auto"/>
              <w:ind w:left="4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Які симптоми отруєння мускарином та заходи допомоги?</w:t>
            </w:r>
          </w:p>
          <w:p w:rsidR="002C4963" w:rsidRPr="002C4963" w:rsidRDefault="002C4963" w:rsidP="002C4963">
            <w:pPr>
              <w:numPr>
                <w:ilvl w:val="0"/>
                <w:numId w:val="17"/>
              </w:numPr>
              <w:spacing w:after="0" w:line="256" w:lineRule="auto"/>
              <w:ind w:left="4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Яку негативну дію чинить нікотин на організм людини?</w:t>
            </w:r>
          </w:p>
          <w:p w:rsidR="002C4963" w:rsidRPr="002C4963" w:rsidRDefault="002C4963" w:rsidP="002C4963">
            <w:pPr>
              <w:numPr>
                <w:ilvl w:val="0"/>
                <w:numId w:val="17"/>
              </w:numPr>
              <w:spacing w:after="0" w:line="256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симптоми отруєння фосфорорганічними сполуками (ФОС) та за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хо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ди допомоги?</w:t>
            </w:r>
          </w:p>
          <w:p w:rsidR="002C4963" w:rsidRPr="002C4963" w:rsidRDefault="002C4963" w:rsidP="002C4963">
            <w:pPr>
              <w:numPr>
                <w:ilvl w:val="0"/>
                <w:numId w:val="17"/>
              </w:numPr>
              <w:spacing w:after="0" w:line="256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заходи допомоги при гострому отруєнні атропіном?</w:t>
            </w:r>
          </w:p>
          <w:p w:rsidR="002C4963" w:rsidRPr="002C4963" w:rsidRDefault="002C4963" w:rsidP="002C4963">
            <w:pPr>
              <w:numPr>
                <w:ilvl w:val="0"/>
                <w:numId w:val="17"/>
              </w:numPr>
              <w:spacing w:after="0" w:line="256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особливості дії,  застосування та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фармакобезпека міорелаксан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тів?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200" w:line="276" w:lineRule="auto"/>
              <w:ind w:left="-5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Дроговоз С.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Фармакологія на допомогу лікарю, провізору, студенту: підручник-довідник. Харків: Титул, 2017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с. 121-140.</w:t>
            </w:r>
          </w:p>
          <w:p w:rsidR="002C4963" w:rsidRPr="002C4963" w:rsidRDefault="002C4963" w:rsidP="002C4963">
            <w:pPr>
              <w:spacing w:after="0" w:line="276" w:lineRule="auto"/>
              <w:ind w:hanging="53"/>
              <w:rPr>
                <w:rFonts w:ascii="Times New Roman" w:eastAsia="Calibri" w:hAnsi="Times New Roman" w:cs="Times New Roman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 xml:space="preserve">с.94-111. 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14288" w:type="dxa"/>
            <w:gridSpan w:val="4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Лікарські засоби, що впливають на адренергічні процеси.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 про адренорецептори, їх класифікація.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Особливості дії, показання до застосування та фармакобезпека симпатолітичних засобів.</w:t>
            </w: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 w:hanging="42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Застосовувати в процесі професійної діяльності всі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 стандартні процедури з дотриманням чинних нормативних вимог з метою забезпечення якості наданої послуги.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 w:hanging="42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 w:hanging="42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, показаннями до застосування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, що впливають на нервову систему, гормональних препаратів, хіміотерапевтичних засобів. 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 w:hanging="42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Описувати заходи допомоги при гострих отруєннях лікарськими засобами. 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 w:hanging="42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фармакокінетичні параметри лікарського препарату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 залежності від форми випуску та умов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Ідентифікувати лікарські засоби за допомогою міжнародної, торової, хмічної назви щодо їх приналежності до певної фармакологічної групи.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Виконувати перевірку правильності виписаних лікарських засобів,  прописаних разових та добових доз отруйних і сильнодіючих лікарських засобів, в залежності від віку пацієнта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/>
              </w:rPr>
              <w:t>Знаходити рішення в ситуаціях,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Пояснювати доцільність вибору певного лікарського засобу шляхом оцінювання хімічної будови, фармакокінетичних та фармакодинамічних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Поширювати інформацію серед населення щодо профілактики захворювань та збереження здоров’я в процесі надання фармацевтичної допомоги.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numPr>
                <w:ilvl w:val="0"/>
                <w:numId w:val="18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Як класифікують адренорецептори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  <w:p w:rsidR="002C4963" w:rsidRPr="002C4963" w:rsidRDefault="002C4963" w:rsidP="002C4963">
            <w:pPr>
              <w:numPr>
                <w:ilvl w:val="0"/>
                <w:numId w:val="18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Фармакодинаміка, показання до застосування та фармакобезпека   симпатолітичних засобів.</w:t>
            </w:r>
          </w:p>
          <w:p w:rsidR="002C4963" w:rsidRPr="002C4963" w:rsidRDefault="002C4963" w:rsidP="002C4963">
            <w:pPr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200" w:line="276" w:lineRule="auto"/>
              <w:ind w:left="-5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Дроговоз С.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Фармакологія на допомогу лікарю, провізору, студенту: підручник-довідник. Харків: Титул, 2017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с. 141-147;160-161.</w:t>
            </w:r>
          </w:p>
          <w:p w:rsidR="002C4963" w:rsidRPr="002C4963" w:rsidRDefault="002C4963" w:rsidP="002C4963">
            <w:pPr>
              <w:spacing w:after="0" w:line="276" w:lineRule="auto"/>
              <w:ind w:hanging="53"/>
              <w:rPr>
                <w:rFonts w:ascii="Times New Roman" w:eastAsia="Calibri" w:hAnsi="Times New Roman" w:cs="Times New Roman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 xml:space="preserve">с.11-114; 119.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14288" w:type="dxa"/>
            <w:gridSpan w:val="4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Лікарські засоби, що пригнічують центральну нервову систему.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Фармакодинаміка спирту етилового. Застосування в медичній та фармацевтичній практиці. Заходи допомоги при гострому і хронічному отруєнні.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Сон, його значення.</w:t>
            </w:r>
            <w:r w:rsidRPr="002C4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Поняття про епілепсію. Основні принципи лікування.</w:t>
            </w:r>
          </w:p>
          <w:p w:rsidR="002C4963" w:rsidRPr="002C4963" w:rsidRDefault="002C4963" w:rsidP="002C4963">
            <w:pPr>
              <w:tabs>
                <w:tab w:val="left" w:pos="28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8" w:type="dxa"/>
          </w:tcPr>
          <w:p w:rsidR="002C4963" w:rsidRPr="002C4963" w:rsidRDefault="002C4963" w:rsidP="002C49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spacing w:after="0" w:line="276" w:lineRule="auto"/>
              <w:ind w:left="43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Застосовувати в процесі професійної діяльності всі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 стандартні процедури з дотриманням чинних нормативних вимог з метою забезпечення якості наданої послуги.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spacing w:after="0" w:line="276" w:lineRule="auto"/>
              <w:ind w:left="43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Імплементувати принципи фармацевтичної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етики та деонтології під час консультування, відпуску лікарських засобів та товарів аптечного асортименту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>Співвідноси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 xml:space="preserve"> та їх властивостями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 xml:space="preserve"> під час виконання практичних завдань.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>, показаннями до застосування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 xml:space="preserve">, що впливають на нервову систему, гормональних препаратів, хіміотерапевтичних засобів. 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Пояснювати фармакокінетичні параметри лікарського препарату</w:t>
            </w: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 xml:space="preserve"> в залежності від форми випуску та умов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Ідентифікувати лікарські засоби за допомогою міжнародної, торової, хмічної назви щодо їх приналежності до певної фармакологічної групи.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 w:hanging="42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/>
              </w:rPr>
              <w:t>Знаходити рішення в ситуаціях,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 w:hanging="42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 w:hanging="42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 xml:space="preserve">Підбирати оптимальну форму лікарського препарату з урахуванням </w:t>
            </w: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Поширювати інформацію серед населення щодо профілактики захворювань та збереження здоров’я в процесі надання фармацевтичної допомоги.</w:t>
            </w:r>
          </w:p>
          <w:p w:rsidR="002C4963" w:rsidRPr="002C4963" w:rsidRDefault="002C4963" w:rsidP="002C4963">
            <w:pPr>
              <w:tabs>
                <w:tab w:val="left" w:pos="256"/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1.  Які особливості фармакодинаміки спирту етилового?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Які особливості застосування етилового спирту в медичній та фармацевтичній практиці?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Які заходи допомоги при гострому і хронічному отруєнні етиловим спиртом?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Що таке сон? Яке його значення для організму людини?</w:t>
            </w: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200" w:line="276" w:lineRule="auto"/>
              <w:ind w:left="-5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Дроговоз С.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Фармакологія на допомогу лікарю, провізору, студенту: підручник-довідник. Харків: Титул, 2017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с. 52-56.</w:t>
            </w:r>
          </w:p>
          <w:p w:rsidR="002C4963" w:rsidRPr="002C4963" w:rsidRDefault="002C4963" w:rsidP="002C4963">
            <w:pPr>
              <w:spacing w:after="0" w:line="276" w:lineRule="auto"/>
              <w:ind w:hanging="53"/>
              <w:rPr>
                <w:rFonts w:ascii="Times New Roman" w:eastAsia="Calibri" w:hAnsi="Times New Roman" w:cs="Times New Roman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 xml:space="preserve">с.142-145; 152-162. 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4288" w:type="dxa"/>
            <w:gridSpan w:val="4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Опіоїдні (наркотичні) та неопіоїдні (ненаркотичні) анальгетики.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Анальгетики. Поняття про опіоїдні рецептори. Біль, механізм виникнення болю. Види болю. 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Рекомендації ВООЗ щодо боротьби з наркоманією.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</w:p>
        </w:tc>
        <w:tc>
          <w:tcPr>
            <w:tcW w:w="3708" w:type="dxa"/>
          </w:tcPr>
          <w:p w:rsidR="002C4963" w:rsidRPr="002C4963" w:rsidRDefault="002C4963" w:rsidP="002C4963">
            <w:pPr>
              <w:tabs>
                <w:tab w:val="left" w:pos="459"/>
              </w:tabs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Демонструвати знання вимог законодавчих та нормативних актів, належних фармацевтичних практик під час консультування.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Імплементувати принципи фармацевтичної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етики та деонтології під час консультування, відпуску лікарських засобів та товарів аптечного асортименту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, показаннями до застосування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, що впливають на нервову систему, гормональних препаратів, хіміотерапевтичних засобів. 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Описувати заходи допомоги при гострих отруєннях лікарськими засобами. 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92" w:hanging="42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 xml:space="preserve">Ідентифікувати лікарські засоби за допомогою міжнародної, торової, хмічної </w:t>
            </w: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>назви щодо їх приналежності до певної  фармакологічної групи.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Знаходити рішення в ситуаціях,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Вибирати оптимальний спосіб застосування лікарського засобу з обгрунтованням його фармакодинамічних та фармакокінетичних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Доводити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серед населення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розуміння про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небезпеку безвідповідального самолікування поширених  больових синдромів. 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Вирішувати фармакологічні ситуаційні задачі з повним обґрунтуванням знайденого рішення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Давати обґрунтовані відповіді на питання щодо особливостей дії та раціонального застосування лікарських препаратів рослинного походження</w:t>
            </w:r>
          </w:p>
          <w:p w:rsidR="002C4963" w:rsidRPr="002C4963" w:rsidRDefault="002C4963" w:rsidP="002C4963">
            <w:pPr>
              <w:tabs>
                <w:tab w:val="left" w:pos="256"/>
                <w:tab w:val="left" w:pos="317"/>
              </w:tabs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Що таке опіоїдні рецептори, біль, анальгетики?</w:t>
            </w:r>
          </w:p>
          <w:p w:rsidR="002C4963" w:rsidRPr="002C4963" w:rsidRDefault="002C4963" w:rsidP="002C4963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Який механізм ви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некнення болю? </w:t>
            </w:r>
          </w:p>
          <w:p w:rsidR="002C4963" w:rsidRPr="002C4963" w:rsidRDefault="002C4963" w:rsidP="002C4963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види болю розрізняють? </w:t>
            </w:r>
          </w:p>
          <w:p w:rsidR="002C4963" w:rsidRPr="002C4963" w:rsidRDefault="002C4963" w:rsidP="002C4963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рекомендації ВООЗ щодо боротьби з наркоманією?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200" w:line="276" w:lineRule="auto"/>
              <w:ind w:left="-5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Дроговоз С.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Фармакологія на допомогу лікарю, провізору, студенту: підручник-довідник. Харків: Титул, 2017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с. 33-43.</w:t>
            </w:r>
          </w:p>
          <w:p w:rsidR="002C4963" w:rsidRPr="002C4963" w:rsidRDefault="002C4963" w:rsidP="002C4963">
            <w:pPr>
              <w:spacing w:after="0" w:line="276" w:lineRule="auto"/>
              <w:ind w:hanging="53"/>
              <w:rPr>
                <w:rFonts w:ascii="Times New Roman" w:eastAsia="Calibri" w:hAnsi="Times New Roman" w:cs="Times New Roman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 xml:space="preserve">с.162-165. 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4288" w:type="dxa"/>
            <w:gridSpan w:val="4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ru-RU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Психотропні засоби пригнічувальної дії.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Поняття про психотропні засоби. Психотропні засоби пригнічувальної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дії. 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Нормотимічні препарати (солі літію). Загальна характе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ристика, фармакодинаміка, побічні ефекти, їх профілактика. Гостре отруєння солями літію, заходи допомоги.</w:t>
            </w: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ind w:left="43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 xml:space="preserve">Демонструвати знання вимог законодавчих та нормативних актів,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належних фармацевтичних практик під час консультування.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ind w:left="575" w:hanging="49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ind w:left="575" w:hanging="49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, показаннями до застосування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, що впливають на нервову систему, гормональних препаратів, хіміотерапевтичних засобів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алгоритмом.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Описувати заходи допомоги при гострих отруєннях лікарськими засобами. 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фармакокінетичні параметри лікарського препарату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 залежності від форми випуску та умов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Ідентифікувати лікарські засоби за допомогою міжнародної, торової, хмічної назви щодо їх приналежності до певної фармакологічної групи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Виконувати перевірку правильності виписаних лікарських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засобів,  прописаних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разових та добових доз отруйних і сильнодіючих лікарських засобів, в залежності від віку пацієнта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Знаходити рішення в ситуаціях</w:t>
            </w: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, пов’язаних з тимчасовою відсутністю лікарського засобу та можливостями проведення взаємозаміни в межах </w:t>
            </w: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lastRenderedPageBreak/>
              <w:t>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доцільність вибору певного лікарського засобу шляхом оцінювання хімічної будови, фармакокінетичних та фармакодинамічних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Доводити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серед населення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розуміння про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небезпеку безвідповідального самолікування поширених захворювань органів травлення, дихання, алергічних станів, больових синдромів. 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numPr>
                <w:ilvl w:val="0"/>
                <w:numId w:val="20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Дати визначення поняттю психотропні засоби.</w:t>
            </w:r>
          </w:p>
          <w:p w:rsidR="002C4963" w:rsidRPr="002C4963" w:rsidRDefault="002C4963" w:rsidP="002C4963">
            <w:pPr>
              <w:numPr>
                <w:ilvl w:val="0"/>
                <w:numId w:val="20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Вказати особливості дії та застосування психотропних засобів пригнічувальної дії.</w:t>
            </w:r>
          </w:p>
          <w:p w:rsidR="002C4963" w:rsidRPr="002C4963" w:rsidRDefault="002C4963" w:rsidP="002C4963">
            <w:pPr>
              <w:numPr>
                <w:ilvl w:val="0"/>
                <w:numId w:val="20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Дати фармакологічну характеристику нормотимічним препаратам.</w:t>
            </w:r>
          </w:p>
          <w:p w:rsidR="002C4963" w:rsidRPr="002C4963" w:rsidRDefault="002C4963" w:rsidP="002C4963">
            <w:pPr>
              <w:numPr>
                <w:ilvl w:val="0"/>
                <w:numId w:val="20"/>
              </w:numPr>
              <w:spacing w:after="0" w:line="240" w:lineRule="auto"/>
              <w:ind w:left="340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Вказати симптоми та заходи допомоги при гострому отруєнні солями літію.</w:t>
            </w: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Дроговоз С.М. Фармакологія на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допомогу лікарю, провізору, студенту: підручник-довідник. Харків: Титул, 2017 с. 70-75.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Чекман І., Горчакова Н., Казак Л. Фармакологія: підручник для студентів медичних факультетів. 3-тє вид. Вінниця : Нова Кн., 2016. с. 180-190.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8.</w:t>
            </w:r>
          </w:p>
        </w:tc>
        <w:tc>
          <w:tcPr>
            <w:tcW w:w="14288" w:type="dxa"/>
            <w:gridSpan w:val="4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Лікарські засоби, що стимулюють центральну нервову систему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Поняття про адаптогени (настойка кореню женьшеня, екстракт елеутерококу, екстракт родіоли рожевої, настойка лимонника китайського, тоніфіт, сапарал, пантокрин) та актопротектори (бемітил), загальна характеристика, порівняль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softHyphen/>
              <w:t xml:space="preserve">ні властивості 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препаратів групи. Умови раціонального застосування. 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59" w:hanging="46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Застосовувати в процесі професійної діяльності всі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 стандартні процедури з дотриманням чинних нормативних вимог з метою забезпечення якості наданої послуги.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59" w:hanging="46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59" w:hanging="46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, показаннями до застосування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, що 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lastRenderedPageBreak/>
              <w:t xml:space="preserve">впливають на нервову систему, гормональних препаратів, хіміотерапевтичних засобів. 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33" w:hanging="39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33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фармакокінетичні параметри лікарського препарату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 залежності від форми випуску та умов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33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Ідентифікувати лікарські засоби за допомогою міжнародної, торової, хмічної назви щодо їх приналежності до певної фармакологічної групи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Виконувати перевірку правильності виписаних лікарських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засобів,  прописаних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разових та добових доз отруйних і сильнодіючих лікарських засобів, в залежності від віку пацієнта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Знаходити рішення в ситуаціях</w:t>
            </w: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доцільність вибору певного лікарського засобу шляхом оцінювання хімічної будови, фармакокінетичних та фармакодинамічних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Доводити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серед населення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розуміння про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небезпеку безвідповідального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самолікування поширених захворювань органів травлення, дихання, алергічних станів, больових синдромів. 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numPr>
                <w:ilvl w:val="0"/>
                <w:numId w:val="21"/>
              </w:numPr>
              <w:spacing w:after="0" w:line="240" w:lineRule="auto"/>
              <w:ind w:left="4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Дати визначення поняттю адаптогени та актопротектори.</w:t>
            </w:r>
          </w:p>
          <w:p w:rsidR="002C4963" w:rsidRPr="002C4963" w:rsidRDefault="002C4963" w:rsidP="002C4963">
            <w:pPr>
              <w:numPr>
                <w:ilvl w:val="0"/>
                <w:numId w:val="21"/>
              </w:numPr>
              <w:spacing w:after="0" w:line="240" w:lineRule="auto"/>
              <w:ind w:left="4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Дати загальну та порівняльну характеристику препаратів цих груп.</w:t>
            </w:r>
          </w:p>
          <w:p w:rsidR="002C4963" w:rsidRPr="002C4963" w:rsidRDefault="002C4963" w:rsidP="002C4963">
            <w:pPr>
              <w:numPr>
                <w:ilvl w:val="0"/>
                <w:numId w:val="21"/>
              </w:numPr>
              <w:spacing w:after="0" w:line="240" w:lineRule="auto"/>
              <w:ind w:left="48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умови раціонального застосування адаптогенів</w:t>
            </w: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0" w:line="276" w:lineRule="auto"/>
              <w:ind w:left="373" w:firstLine="20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Дроговоз С.М. </w:t>
            </w:r>
            <w:r w:rsidRPr="002C4963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Фармакологія на допомогу лікарю, провізору, студенту: підручник-довідник. Харків: Титул, 2017 с. </w:t>
            </w:r>
            <w:r w:rsidRPr="002C4963">
              <w:rPr>
                <w:rFonts w:ascii="Times New Roman" w:eastAsia="Calibri" w:hAnsi="Times New Roman" w:cs="Times New Roman"/>
                <w:sz w:val="20"/>
                <w:szCs w:val="32"/>
                <w:lang w:val="uk-UA"/>
              </w:rPr>
              <w:t>101-103</w:t>
            </w:r>
            <w:r w:rsidRPr="002C4963">
              <w:rPr>
                <w:rFonts w:ascii="Times New Roman" w:eastAsia="Calibri" w:hAnsi="Times New Roman" w:cs="Times New Roman"/>
                <w:szCs w:val="32"/>
                <w:lang w:val="uk-UA"/>
              </w:rPr>
              <w:t>.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Чекман І., Горчакова Н., Казак Л. Фармакологія: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підручник для студентів медичних факультетів. 3-тє вид. Вінниця : Нова Кн., 2016. с.118-220.</w:t>
            </w:r>
          </w:p>
        </w:tc>
      </w:tr>
    </w:tbl>
    <w:p w:rsidR="002C4963" w:rsidRPr="002C4963" w:rsidRDefault="002C4963" w:rsidP="002C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2C4963" w:rsidRPr="002C4963" w:rsidSect="009D39F3">
          <w:pgSz w:w="16838" w:h="11906" w:orient="landscape"/>
          <w:pgMar w:top="851" w:right="1134" w:bottom="425" w:left="1134" w:header="709" w:footer="709" w:gutter="0"/>
          <w:cols w:space="708"/>
          <w:docGrid w:linePitch="360"/>
        </w:sect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C496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lastRenderedPageBreak/>
        <w:t>ЛІТЕРАТУРА</w:t>
      </w:r>
    </w:p>
    <w:p w:rsidR="002C4963" w:rsidRPr="002C4963" w:rsidRDefault="002C4963" w:rsidP="002C49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C496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Основна</w:t>
      </w:r>
    </w:p>
    <w:p w:rsidR="002C4963" w:rsidRPr="002C4963" w:rsidRDefault="002C4963" w:rsidP="002C4963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Дроговоз С. Фармакологія на допомогу лікарю, провізору, студенту: підручник-довідник. Харків: Титул, 2017. 480 с.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Фармакологія за Рангом і Дейлом: підручник / Дж.М. Рітер та ін. 9-те вид. Київ: Всеукр. спеціаліз. вид-во «Медицина», 2021. Т.1. 600 с. URL: </w:t>
      </w:r>
      <w:hyperlink r:id="rId5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https://drive.google.com/file/d/1OwHubPN0nYNVxk26qAG1PKQem7guGnqj/view?usp=share_link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(дата звернення: 30.08.2023).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Фармакологія за Рангом і Дейлом: підручник / Дж. М. Рітер та ін. 9-те вид. Київ: Всеукр. спеціаліз. вид-во «Медицина», 2022. Т. 2. 352 с. URL: </w:t>
      </w:r>
      <w:hyperlink r:id="rId6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https://drive.google.com/file/d/1JQo1V1jRUzd-SZvLq-i1fLMqiSarj7HR/view?usp=share_link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Годован В. Фармакологія в рисунках і схемах. Вінниця: Нова Кн., 2019. 464 с.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Чекман І., Горчакова Н., Казак Л. Фармакологія: підручник для студентів медичних факультетів. 3-тє вид. </w:t>
      </w:r>
      <w:proofErr w:type="gramStart"/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Вінниця :</w:t>
      </w:r>
      <w:proofErr w:type="gramEnd"/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Нова Кн., 2016. 784 с.</w:t>
      </w:r>
    </w:p>
    <w:p w:rsidR="002C4963" w:rsidRPr="002C4963" w:rsidRDefault="002C4963" w:rsidP="002C496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C4963" w:rsidRPr="002C4963" w:rsidRDefault="002C4963" w:rsidP="002C496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Додаткова</w:t>
      </w:r>
    </w:p>
    <w:p w:rsidR="002C4963" w:rsidRPr="002C4963" w:rsidRDefault="002C4963" w:rsidP="002C4963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Фармацевтична опіка: практичний посібник: практ. посіб. / І. Зупанець та ін. 3-тє вид. Київ: Фармацевт Практика, 2018. 224 с. </w:t>
      </w:r>
    </w:p>
    <w:p w:rsidR="002C4963" w:rsidRPr="002C4963" w:rsidRDefault="002C4963" w:rsidP="002C4963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Симптоми та синдроми в практичній фармації. Принципи терапії: навч. посіб. / І. Зупанець та ін. 2-ге вид. Харків: Золоті сторінки, 2021. 120 с.</w:t>
      </w:r>
    </w:p>
    <w:p w:rsidR="002C4963" w:rsidRPr="002C4963" w:rsidRDefault="002C4963" w:rsidP="002C4963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затвердження протоколів </w:t>
      </w:r>
      <w:proofErr w:type="gramStart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фармацевта :</w:t>
      </w:r>
      <w:proofErr w:type="gramEnd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 Міністерства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 здоров’я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України від 05.01.2022 № 7 / Міністерство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 здоров’я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України. </w:t>
      </w:r>
      <w:r w:rsidRPr="002C4963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https://zakon.rada.gov.ua/rada/show/v0007282-22#Text (дата звернення: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30.08.2023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2C4963" w:rsidRPr="002C4963" w:rsidRDefault="002C4963" w:rsidP="002C4963">
      <w:pPr>
        <w:numPr>
          <w:ilvl w:val="0"/>
          <w:numId w:val="34"/>
        </w:numPr>
        <w:tabs>
          <w:tab w:val="left" w:pos="18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Дроговоз С.</w:t>
      </w:r>
      <w:proofErr w:type="gramStart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М,.</w:t>
      </w:r>
      <w:proofErr w:type="gramEnd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Щокіна К.М. Фармакологія на долонях Довідник. Х.: Плеяда, - </w:t>
      </w:r>
      <w:proofErr w:type="gramStart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2016.–</w:t>
      </w:r>
      <w:proofErr w:type="gramEnd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112 с. </w:t>
      </w:r>
    </w:p>
    <w:p w:rsidR="002C4963" w:rsidRPr="002C4963" w:rsidRDefault="002C4963" w:rsidP="002C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</w:pPr>
    </w:p>
    <w:p w:rsidR="002C4963" w:rsidRPr="002C4963" w:rsidRDefault="002C4963" w:rsidP="002C4963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Інформаційні ресурси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WHOCC - ATC/DDD Index.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WHOCC - Home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URL: </w:t>
      </w:r>
      <w:hyperlink r:id="rId7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https://www.whocc.no/atc_ddd_index/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Офіційний портал Верховної Ради України.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Офіційний портал Верховної Ради України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8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https://www.rada.gov.ua/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01.02.2023).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Державний експертний центр Міністерства охорони здоров’я України.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Державний експертний центр Міністерства охорони здоров’я України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9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https://www.dec.gov.ua/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Держлікслужба.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Держлікслужба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0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https://www.dls.gov.ua/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Державне підприємство "Український науковий фармакопейний центр якості лікарських засобів".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Державне підприємство "Український науковий фармакопейний центр якості лікарських засобів"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1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http://sphu.org/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Державний реєстр лікарських засобів України.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Державний реєстр лікарських засобів України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2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http://www.drlz.com.ua/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Довідник лікарських препаратів Компендіум.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Компендіум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3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https://compendium.com.ua/uk/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Фармацевтична енциклопедія.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Фармацевтична енциклопедія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4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https://www.pharmencyclopedia.com.ua/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Сучасна фармація - Незалежне видання фармацевтичної галузі.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Сучасна фармація - Незалежне видання фармацевтичної галузі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5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https://www.modern-pharmacy.com.ua/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Журнал "Фармацевт Практик".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Журнал "Фармацевт Практик"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6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https://fp.com.ua/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Аптека online.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Аптека online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7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https://www.apteka.ua/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Довідник лікарських засобів -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RxIndex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Довідник еквівалентності лікарських засобів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Rxindex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URL:</w:t>
      </w:r>
      <w:hyperlink r:id="rId18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https://rx.ua/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Новини медицини в Україні | Інтернет-видання "Новини медицини і фармації". 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Новини медицини в Україні | Інтернет-видання "Новини медицини і фармації"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URL: </w:t>
      </w:r>
      <w:hyperlink r:id="rId19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http://www.mif-ua.com/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(дата звернення: 30.08.2023).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Здоров’я України | Інформація для спеціалістів охорони здоров’я.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Здоров’я України | Інформація для спеціалістів охорони здоров’я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URL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hyperlink r:id="rId20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://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health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-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ua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.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com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(дата звернення: 30.08.2023). </w:t>
      </w:r>
    </w:p>
    <w:p w:rsidR="00C227A1" w:rsidRPr="002C4963" w:rsidRDefault="00C227A1">
      <w:pPr>
        <w:rPr>
          <w:lang w:val="uk-UA"/>
        </w:rPr>
      </w:pPr>
    </w:p>
    <w:sectPr w:rsidR="00C227A1" w:rsidRPr="002C4963" w:rsidSect="009D39F3">
      <w:pgSz w:w="11906" w:h="16838"/>
      <w:pgMar w:top="1134" w:right="42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6C3"/>
    <w:multiLevelType w:val="hybridMultilevel"/>
    <w:tmpl w:val="9FA4B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721A"/>
    <w:multiLevelType w:val="hybridMultilevel"/>
    <w:tmpl w:val="46E8920E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E74"/>
    <w:multiLevelType w:val="hybridMultilevel"/>
    <w:tmpl w:val="5A76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44FB"/>
    <w:multiLevelType w:val="hybridMultilevel"/>
    <w:tmpl w:val="3664EF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4BC5"/>
    <w:multiLevelType w:val="hybridMultilevel"/>
    <w:tmpl w:val="1D301118"/>
    <w:lvl w:ilvl="0" w:tplc="D20E1978">
      <w:start w:val="1"/>
      <w:numFmt w:val="bullet"/>
      <w:lvlText w:val=""/>
      <w:lvlJc w:val="left"/>
      <w:pPr>
        <w:tabs>
          <w:tab w:val="num" w:pos="1275"/>
        </w:tabs>
        <w:ind w:left="1275" w:hanging="5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5CD1"/>
    <w:multiLevelType w:val="hybridMultilevel"/>
    <w:tmpl w:val="1E90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96DCB"/>
    <w:multiLevelType w:val="hybridMultilevel"/>
    <w:tmpl w:val="C8CA7C0C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2A4301"/>
    <w:multiLevelType w:val="hybridMultilevel"/>
    <w:tmpl w:val="922AFB40"/>
    <w:lvl w:ilvl="0" w:tplc="91BE8CB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8E1721B"/>
    <w:multiLevelType w:val="hybridMultilevel"/>
    <w:tmpl w:val="AAC0F2B8"/>
    <w:lvl w:ilvl="0" w:tplc="0E448450">
      <w:start w:val="1"/>
      <w:numFmt w:val="bullet"/>
      <w:lvlText w:val="−"/>
      <w:lvlJc w:val="left"/>
      <w:pPr>
        <w:ind w:left="10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29960D6B"/>
    <w:multiLevelType w:val="hybridMultilevel"/>
    <w:tmpl w:val="C6CAB162"/>
    <w:lvl w:ilvl="0" w:tplc="2668EB44">
      <w:start w:val="1"/>
      <w:numFmt w:val="bullet"/>
      <w:lvlText w:val=""/>
      <w:lvlJc w:val="left"/>
      <w:pPr>
        <w:ind w:left="1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 w15:restartNumberingAfterBreak="0">
    <w:nsid w:val="2C172336"/>
    <w:multiLevelType w:val="hybridMultilevel"/>
    <w:tmpl w:val="9FA4B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4090F"/>
    <w:multiLevelType w:val="hybridMultilevel"/>
    <w:tmpl w:val="6AE67B3E"/>
    <w:lvl w:ilvl="0" w:tplc="2668E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6C49"/>
    <w:multiLevelType w:val="hybridMultilevel"/>
    <w:tmpl w:val="02945286"/>
    <w:lvl w:ilvl="0" w:tplc="366C1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C3F4E"/>
    <w:multiLevelType w:val="hybridMultilevel"/>
    <w:tmpl w:val="9FA4B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13F5"/>
    <w:multiLevelType w:val="hybridMultilevel"/>
    <w:tmpl w:val="AAB8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23E03"/>
    <w:multiLevelType w:val="hybridMultilevel"/>
    <w:tmpl w:val="C68A5266"/>
    <w:lvl w:ilvl="0" w:tplc="875A1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57C05"/>
    <w:multiLevelType w:val="hybridMultilevel"/>
    <w:tmpl w:val="ECDEA3DC"/>
    <w:lvl w:ilvl="0" w:tplc="B94C48D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>
      <w:start w:val="1"/>
      <w:numFmt w:val="lowerRoman"/>
      <w:lvlText w:val="%3."/>
      <w:lvlJc w:val="right"/>
      <w:pPr>
        <w:ind w:left="2084" w:hanging="180"/>
      </w:pPr>
    </w:lvl>
    <w:lvl w:ilvl="3" w:tplc="2000000F">
      <w:start w:val="1"/>
      <w:numFmt w:val="decimal"/>
      <w:lvlText w:val="%4."/>
      <w:lvlJc w:val="left"/>
      <w:pPr>
        <w:ind w:left="2804" w:hanging="360"/>
      </w:pPr>
    </w:lvl>
    <w:lvl w:ilvl="4" w:tplc="20000019">
      <w:start w:val="1"/>
      <w:numFmt w:val="lowerLetter"/>
      <w:lvlText w:val="%5."/>
      <w:lvlJc w:val="left"/>
      <w:pPr>
        <w:ind w:left="3524" w:hanging="360"/>
      </w:pPr>
    </w:lvl>
    <w:lvl w:ilvl="5" w:tplc="2000001B">
      <w:start w:val="1"/>
      <w:numFmt w:val="lowerRoman"/>
      <w:lvlText w:val="%6."/>
      <w:lvlJc w:val="right"/>
      <w:pPr>
        <w:ind w:left="4244" w:hanging="180"/>
      </w:pPr>
    </w:lvl>
    <w:lvl w:ilvl="6" w:tplc="2000000F">
      <w:start w:val="1"/>
      <w:numFmt w:val="decimal"/>
      <w:lvlText w:val="%7."/>
      <w:lvlJc w:val="left"/>
      <w:pPr>
        <w:ind w:left="4964" w:hanging="360"/>
      </w:pPr>
    </w:lvl>
    <w:lvl w:ilvl="7" w:tplc="20000019">
      <w:start w:val="1"/>
      <w:numFmt w:val="lowerLetter"/>
      <w:lvlText w:val="%8."/>
      <w:lvlJc w:val="left"/>
      <w:pPr>
        <w:ind w:left="5684" w:hanging="360"/>
      </w:pPr>
    </w:lvl>
    <w:lvl w:ilvl="8" w:tplc="2000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3433"/>
    <w:multiLevelType w:val="hybridMultilevel"/>
    <w:tmpl w:val="17C2E148"/>
    <w:lvl w:ilvl="0" w:tplc="49BAB11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06860"/>
    <w:multiLevelType w:val="hybridMultilevel"/>
    <w:tmpl w:val="3AA0624C"/>
    <w:lvl w:ilvl="0" w:tplc="05643BF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C930F81"/>
    <w:multiLevelType w:val="hybridMultilevel"/>
    <w:tmpl w:val="E9E81E56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819E1"/>
    <w:multiLevelType w:val="hybridMultilevel"/>
    <w:tmpl w:val="1C76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12215"/>
    <w:multiLevelType w:val="hybridMultilevel"/>
    <w:tmpl w:val="53069686"/>
    <w:lvl w:ilvl="0" w:tplc="91BE8CBA"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990681D"/>
    <w:multiLevelType w:val="hybridMultilevel"/>
    <w:tmpl w:val="EF842A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50AC7"/>
    <w:multiLevelType w:val="hybridMultilevel"/>
    <w:tmpl w:val="43AC7C5A"/>
    <w:lvl w:ilvl="0" w:tplc="2668E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55EC2"/>
    <w:multiLevelType w:val="hybridMultilevel"/>
    <w:tmpl w:val="F37686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D600A"/>
    <w:multiLevelType w:val="hybridMultilevel"/>
    <w:tmpl w:val="3F54C8EC"/>
    <w:lvl w:ilvl="0" w:tplc="326CE8F4">
      <w:start w:val="1"/>
      <w:numFmt w:val="decimal"/>
      <w:lvlText w:val="%1."/>
      <w:lvlJc w:val="left"/>
      <w:pPr>
        <w:ind w:left="9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F276C2"/>
    <w:multiLevelType w:val="hybridMultilevel"/>
    <w:tmpl w:val="A41EAC9C"/>
    <w:lvl w:ilvl="0" w:tplc="D20E1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9650D3"/>
    <w:multiLevelType w:val="hybridMultilevel"/>
    <w:tmpl w:val="DF4CE3B4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741F9"/>
    <w:multiLevelType w:val="hybridMultilevel"/>
    <w:tmpl w:val="7F8A4FF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29" w15:restartNumberingAfterBreak="0">
    <w:nsid w:val="6D1B77E1"/>
    <w:multiLevelType w:val="hybridMultilevel"/>
    <w:tmpl w:val="6EDEA990"/>
    <w:lvl w:ilvl="0" w:tplc="91BE8CB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0761DB2"/>
    <w:multiLevelType w:val="hybridMultilevel"/>
    <w:tmpl w:val="C1BCFBB6"/>
    <w:lvl w:ilvl="0" w:tplc="D20E19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4200AB"/>
    <w:multiLevelType w:val="hybridMultilevel"/>
    <w:tmpl w:val="8E5615B8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83683"/>
    <w:multiLevelType w:val="hybridMultilevel"/>
    <w:tmpl w:val="DAD6BF04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9015A"/>
    <w:multiLevelType w:val="hybridMultilevel"/>
    <w:tmpl w:val="0D222082"/>
    <w:lvl w:ilvl="0" w:tplc="D20E1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D2233"/>
    <w:multiLevelType w:val="hybridMultilevel"/>
    <w:tmpl w:val="7BDC08F0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11"/>
  </w:num>
  <w:num w:numId="5">
    <w:abstractNumId w:val="23"/>
  </w:num>
  <w:num w:numId="6">
    <w:abstractNumId w:val="0"/>
  </w:num>
  <w:num w:numId="7">
    <w:abstractNumId w:val="10"/>
  </w:num>
  <w:num w:numId="8">
    <w:abstractNumId w:val="12"/>
  </w:num>
  <w:num w:numId="9">
    <w:abstractNumId w:val="25"/>
  </w:num>
  <w:num w:numId="10">
    <w:abstractNumId w:val="18"/>
  </w:num>
  <w:num w:numId="11">
    <w:abstractNumId w:val="5"/>
  </w:num>
  <w:num w:numId="12">
    <w:abstractNumId w:val="8"/>
  </w:num>
  <w:num w:numId="13">
    <w:abstractNumId w:val="4"/>
  </w:num>
  <w:num w:numId="14">
    <w:abstractNumId w:val="26"/>
  </w:num>
  <w:num w:numId="15">
    <w:abstractNumId w:val="30"/>
  </w:num>
  <w:num w:numId="16">
    <w:abstractNumId w:val="3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1"/>
  </w:num>
  <w:num w:numId="24">
    <w:abstractNumId w:val="27"/>
  </w:num>
  <w:num w:numId="25">
    <w:abstractNumId w:val="21"/>
  </w:num>
  <w:num w:numId="26">
    <w:abstractNumId w:val="34"/>
  </w:num>
  <w:num w:numId="27">
    <w:abstractNumId w:val="2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</w:num>
  <w:num w:numId="33">
    <w:abstractNumId w:val="9"/>
  </w:num>
  <w:num w:numId="34">
    <w:abstractNumId w:val="14"/>
  </w:num>
  <w:num w:numId="35">
    <w:abstractNumId w:val="1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8F"/>
    <w:rsid w:val="002C4963"/>
    <w:rsid w:val="00763625"/>
    <w:rsid w:val="009D39F3"/>
    <w:rsid w:val="00C227A1"/>
    <w:rsid w:val="00C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F8BE"/>
  <w15:chartTrackingRefBased/>
  <w15:docId w15:val="{9F870A7C-68D7-4B2D-BA14-92ECDEF4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963"/>
  </w:style>
  <w:style w:type="table" w:styleId="a3">
    <w:name w:val="Table Grid"/>
    <w:basedOn w:val="a1"/>
    <w:rsid w:val="002C49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96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496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C496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C496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8">
    <w:name w:val="Body Text"/>
    <w:basedOn w:val="a"/>
    <w:link w:val="a9"/>
    <w:rsid w:val="002C49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rsid w:val="002C496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2C49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Normal (Web)"/>
    <w:basedOn w:val="a"/>
    <w:unhideWhenUsed/>
    <w:rsid w:val="002C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qFormat/>
    <w:rsid w:val="002C4963"/>
    <w:rPr>
      <w:b/>
      <w:bCs/>
    </w:rPr>
  </w:style>
  <w:style w:type="character" w:styleId="ac">
    <w:name w:val="Hyperlink"/>
    <w:rsid w:val="002C4963"/>
    <w:rPr>
      <w:color w:val="0000FF"/>
      <w:u w:val="single"/>
    </w:rPr>
  </w:style>
  <w:style w:type="paragraph" w:styleId="ad">
    <w:basedOn w:val="a"/>
    <w:next w:val="ae"/>
    <w:link w:val="af"/>
    <w:qFormat/>
    <w:rsid w:val="002C4963"/>
    <w:pPr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val="uk-UA"/>
    </w:rPr>
  </w:style>
  <w:style w:type="character" w:customStyle="1" w:styleId="af">
    <w:name w:val="Название Знак"/>
    <w:link w:val="ad"/>
    <w:rsid w:val="002C4963"/>
    <w:rPr>
      <w:rFonts w:ascii="Times New Roman" w:hAnsi="Times New Roman"/>
      <w:b/>
      <w:sz w:val="28"/>
      <w:szCs w:val="28"/>
      <w:lang w:val="uk-UA"/>
    </w:rPr>
  </w:style>
  <w:style w:type="paragraph" w:styleId="2">
    <w:name w:val="Body Text 2"/>
    <w:basedOn w:val="a"/>
    <w:link w:val="20"/>
    <w:uiPriority w:val="99"/>
    <w:semiHidden/>
    <w:unhideWhenUsed/>
    <w:rsid w:val="002C4963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C4963"/>
    <w:rPr>
      <w:rFonts w:ascii="Calibri" w:eastAsia="Times New Roman" w:hAnsi="Calibri" w:cs="Times New Roman"/>
      <w:lang w:val="ru-RU" w:eastAsia="ru-RU"/>
    </w:rPr>
  </w:style>
  <w:style w:type="paragraph" w:customStyle="1" w:styleId="LO-Normal">
    <w:name w:val="LO-Normal"/>
    <w:rsid w:val="002C496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ru-RU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2C4963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4963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e">
    <w:name w:val="Title"/>
    <w:basedOn w:val="a"/>
    <w:next w:val="a"/>
    <w:link w:val="af0"/>
    <w:uiPriority w:val="10"/>
    <w:qFormat/>
    <w:rsid w:val="002C49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2C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a.gov.ua/" TargetMode="External"/><Relationship Id="rId13" Type="http://schemas.openxmlformats.org/officeDocument/2006/relationships/hyperlink" Target="https://compendium.com.ua/uk/" TargetMode="External"/><Relationship Id="rId18" Type="http://schemas.openxmlformats.org/officeDocument/2006/relationships/hyperlink" Target="https://rx.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hocc.no/atc_ddd_index/" TargetMode="External"/><Relationship Id="rId12" Type="http://schemas.openxmlformats.org/officeDocument/2006/relationships/hyperlink" Target="http://www.drlz.com.ua/" TargetMode="External"/><Relationship Id="rId17" Type="http://schemas.openxmlformats.org/officeDocument/2006/relationships/hyperlink" Target="https://www.apteka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p.com.ua/" TargetMode="External"/><Relationship Id="rId20" Type="http://schemas.openxmlformats.org/officeDocument/2006/relationships/hyperlink" Target="https://health-u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JQo1V1jRUzd-SZvLq-i1fLMqiSarj7HR/view?usp=share_link" TargetMode="External"/><Relationship Id="rId11" Type="http://schemas.openxmlformats.org/officeDocument/2006/relationships/hyperlink" Target="http://sphu.org/" TargetMode="External"/><Relationship Id="rId5" Type="http://schemas.openxmlformats.org/officeDocument/2006/relationships/hyperlink" Target="https://drive.google.com/file/d/1OwHubPN0nYNVxk26qAG1PKQem7guGnqj/view?usp=share_link" TargetMode="External"/><Relationship Id="rId15" Type="http://schemas.openxmlformats.org/officeDocument/2006/relationships/hyperlink" Target="https://www.modern-pharmacy.com.ua/" TargetMode="External"/><Relationship Id="rId10" Type="http://schemas.openxmlformats.org/officeDocument/2006/relationships/hyperlink" Target="https://www.dls.gov.ua/" TargetMode="External"/><Relationship Id="rId19" Type="http://schemas.openxmlformats.org/officeDocument/2006/relationships/hyperlink" Target="http://www.mif-u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c.gov.ua/" TargetMode="External"/><Relationship Id="rId14" Type="http://schemas.openxmlformats.org/officeDocument/2006/relationships/hyperlink" Target="https://www.pharmencyclopedia.com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4413</Words>
  <Characters>25158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ХИТРАЯ ЛИСИЧКА</dc:creator>
  <cp:keywords/>
  <dc:description/>
  <cp:lastModifiedBy>ХИТРАЯ ЛИСИЧКА</cp:lastModifiedBy>
  <cp:revision>2</cp:revision>
  <dcterms:created xsi:type="dcterms:W3CDTF">2025-03-18T04:52:00Z</dcterms:created>
  <dcterms:modified xsi:type="dcterms:W3CDTF">2025-03-18T04:52:00Z</dcterms:modified>
</cp:coreProperties>
</file>